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Darwal Michael Joseph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20"/>
        <w:spacing w:after="0" w:line="320" w:lineRule="auto"/>
        <w:rPr>
          <w:sz w:val="20"/>
          <w:szCs w:val="20"/>
          <w:color w:val="auto"/>
        </w:rPr>
      </w:pPr>
      <w:r>
        <w:rPr>
          <w:rFonts w:ascii="Times New Roman" w:cs="Times New Roman" w:eastAsia="Times New Roman" w:hAnsi="Times New Roman"/>
          <w:sz w:val="17"/>
          <w:szCs w:val="17"/>
          <w:color w:val="0000FF"/>
        </w:rPr>
        <w:t>1717 PENNSYLVANIA AVENUE NW SUITE 825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IBEX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IBEX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Chief AI &amp; Digital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20006</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7,000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48,277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one share of Issuer's Common Stock for each RSU. 25% of the granted RSUs shall vest annually over four years, commencing on September 30, 2027, provided that the Reporting Person remains in continuous service on each vesting date. Unless otherwise provided, on each vesting date, Issuer will automatically withhold shares to satisfy the Reporting Person's tax withholding obligations in a non-discretionary transaction.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Lisa Lenstrohm,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3678" TargetMode="External"/><Relationship Id="rId14" Type="http://schemas.openxmlformats.org/officeDocument/2006/relationships/hyperlink" Target="http://www.sec.gov/cgi-bin/browse-edgar?action=getcompany&amp;CIK=0001720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2026-11-03T17:13:34Z</dcterms:created>
  <dcterms:modified xsi:type="dcterms:W3CDTF">2026-11-03T17:13:34Z</dcterms:modified>
</cp:coreProperties>
</file>