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Dawson Bruce Neil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IBEX LIMITED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IBEX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IBEX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Chief Sales and CS Officer</w:t>
      </w:r>
    </w:p>
    <w:p>
      <w:pPr>
        <w:spacing w:after="0" w:line="22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1717 PENNSYLVANIA AVENUE NW, SUITE</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825</w:t>
            </w:r>
          </w:p>
        </w:tc>
        <w:tc>
          <w:tcPr>
            <w:tcW w:w="1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6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vMerge w:val="continue"/>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69"/>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8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WASHINGTON DC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20006</w:t>
            </w: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44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536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10/30/2026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71,923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Issuer's Common Stock for each RSU. 25% of the granted RSUs shall vest annually over four years, commencing on September 30, 2027, provided that the Reporting Person remains in continuous service on each vesting date. Unless otherwise provided, on each vesting date, Issuer will automatically withhold shares to satisfy the Reporting Person's tax withholding obligations in a non-discretionary transaction.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Lisa Lenstrohm,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708" TargetMode="External"/><Relationship Id="rId14" Type="http://schemas.openxmlformats.org/officeDocument/2006/relationships/hyperlink" Target="http://www.sec.gov/cgi-bin/browse-edgar?action=getcompany&amp;CIK=00017204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2026-11-03T16:34:40Z</dcterms:created>
  <dcterms:modified xsi:type="dcterms:W3CDTF">2026-11-03T16:34:40Z</dcterms:modified>
</cp:coreProperties>
</file>