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pPr>
      <w:bookmarkStart w:id="0" w:name="wk-form4_1793742910.xml.htm"/>
      <w:bookmarkStart w:id="1" w:name="kswkform4_1793742910"/>
      <w:bookmarkEnd w:id="0"/>
      <w:bookmarkEnd w:id="1"/>
      <w: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pPr>
            <w:r>
              <w:rPr>
                <w:rFonts w:ascii="arial;helvetica;sans-serif" w:hAnsi="arial;helvetica;sans-serif"/>
                <w:b/>
                <w:sz w:val="28"/>
              </w:rPr>
              <w:t>UNITED STATES SECURITIES AND EXCHANGE COMMISSION</w:t>
            </w:r>
            <w:r>
              <w:br/>
            </w:r>
            <w:r>
              <w:rPr>
                <w:rFonts w:ascii="arial;helvetica;sans-serif" w:hAnsi="arial;helvetica;sans-serif"/>
                <w:sz w:val="20"/>
              </w:rPr>
              <w:t>Washington, D.C. 20549</w:t>
            </w:r>
            <w:r>
              <w:br/>
              <w:br/>
            </w:r>
            <w:r>
              <w:rPr>
                <w:rFonts w:ascii="arial;helvetica;sans-serif" w:hAnsi="arial;helvetica;sans-serif"/>
                <w:b/>
                <w:sz w:val="28"/>
              </w:rPr>
              <w:t>STATEMENT OF CHANGES IN BENEFICIAL OWNERSHIP</w:t>
            </w:r>
            <w:r>
              <w:br/>
              <w:br/>
            </w:r>
            <w:r>
              <w:rPr>
                <w:rFonts w:ascii="arial;helvetica;sans-serif" w:hAnsi="arial;helvetica;sans-serif"/>
                <w:sz w:val="20"/>
              </w:rPr>
              <w:t>Filed pursuant to Section 16(a) of the Securities Exchange Act of 1934</w:t>
            </w:r>
            <w: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pPr>
            <w:r>
              <w:t> </w:t>
            </w:r>
          </w:p>
          <w:tbl>
            <w:tblPr>
              <w:tblW w:w="5000" w:type="pct"/>
              <w:jc w:val="center"/>
              <w:tblInd w:w="0" w:type="dxa"/>
              <w:tblLayout w:type="fixed"/>
              <w:tblCellMar>
                <w:top w:w="28" w:type="dxa"/>
                <w:left w:w="28" w:type="dxa"/>
                <w:bottom w:w="28" w:type="dxa"/>
                <w:right w:w="28" w:type="dxa"/>
              </w:tblCellMar>
            </w:tblPr>
            <w:tblGrid>
              <w:gridCol w:w="1872"/>
            </w:tblGrid>
            <w:t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pPr>
                  <w:r/>
                </w:p>
              </w:tc>
            </w:tr>
            <w:t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c>
          <w:tcPr>
            <w:tcW w:w="345" w:type="dxa"/>
            <w:tcBorders/>
            <w:vAlign w:val="center"/>
          </w:tcPr>
          <w:p>
            <w:pPr>
              <w:pStyle w:val="TableContents"/>
              <w:bidi w:val="0"/>
              <w:spacing w:before="0" w:after="283"/>
              <w:jc w:val="left"/>
            </w:pPr>
            <w: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pPr>
            <w:r/>
          </w:p>
        </w:tc>
        <w:tc>
          <w:tcPr>
            <w:tcW w:w="1992" w:type="dxa"/>
            <w:vMerge w:val="continue"/>
            <w:tcBorders/>
          </w:tcPr>
          <w:p>
            <w:pPr>
              <w:pStyle w:val="Normal"/>
              <w:bidi w:val="0"/>
              <w:jc w:val="left"/>
            </w:pPr>
            <w:r/>
          </w:p>
        </w:tc>
      </w:tr>
      <w:tr>
        <w:trPr>
          <w:trHeight w:val="570" w:hRule="atLeast"/>
        </w:trPr>
        <w:tc>
          <w:tcPr>
            <w:tcW w:w="345" w:type="dxa"/>
            <w:tcBorders/>
          </w:tcPr>
          <w:p>
            <w:pPr>
              <w:pStyle w:val="TableContents"/>
              <w:bidi w:val="0"/>
              <w:spacing w:before="0" w:after="283"/>
              <w:jc w:val="left"/>
            </w:pPr>
            <w: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pPr>
                  <w:hyperlink r:id="rId4">
                    <w:r>
                      <w:rPr>
                        <w:rStyle w:val="InternetLink"/>
                      </w:rPr>
                      <w:t>Dechant Robert Thomas</w:t>
                    </w:r>
                  </w:hyperlink>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p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p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br/>
            </w:r>
            <w:hyperlink r:id="rId5">
              <w:r>
                <w:rPr>
                  <w:rStyle w:val="InternetLink"/>
                </w:rPr>
                <w:t>IBEX Ltd</w:t>
              </w:r>
            </w:hyperlink>
            <w:r>
              <w:t xml:space="preserve"> [ </w:t>
            </w:r>
            <w:r>
              <w:rPr>
                <w:rFonts w:ascii="Times;serif" w:hAnsi="Times;serif"/>
                <w:color w:val="0000FF"/>
                <w:sz w:val="24"/>
                <w:shd w:fill="FFFFFF" w:val="clear"/>
              </w:rPr>
              <w:t>IBEX</w:t>
            </w:r>
            <w: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pPr>
            <w:r>
              <w:rPr>
                <w:rFonts w:ascii="arial;helvetica;sans-serif" w:hAnsi="arial;helvetica;sans-serif"/>
                <w:sz w:val="20"/>
              </w:rPr>
              <w:t xml:space="preserve">5. Relationship of Reporting Person(s) to Issuer </w:t>
            </w:r>
            <w: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c>
          <w:tcPr>
            <w:tcW w:w="3571" w:type="dxa"/>
            <w:vMerge w:val="continue"/>
            <w:tcBorders>
              <w:left w:val="single" w:sz="6" w:space="0" w:color="808080"/>
              <w:bottom w:val="single" w:sz="2" w:space="0" w:color="808080"/>
              <w:right w:val="single" w:sz="6" w:space="0" w:color="808080"/>
            </w:tcBorders>
          </w:tcPr>
          <w:p>
            <w:pPr>
              <w:pStyle w:val="Normal"/>
              <w:bidi w:val="0"/>
              <w:jc w:val="left"/>
            </w:p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pPr>
            <w:r>
              <w:rPr>
                <w:rFonts w:ascii="arial;helvetica;sans-serif" w:hAnsi="arial;helvetica;sans-serif"/>
                <w:sz w:val="20"/>
              </w:rPr>
              <w:t>3. Date of Earliest Transaction (Month/Day/Year)</w:t>
            </w:r>
            <w:r>
              <w:br/>
            </w:r>
            <w:r>
              <w:rPr>
                <w:rFonts w:ascii="Times;serif" w:hAnsi="Times;serif"/>
                <w:color w:val="0000FF"/>
                <w:sz w:val="24"/>
                <w:shd w:fill="FFFFFF" w:val="clear"/>
              </w:rPr>
              <w:t>10/30/2026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3571" w:type="dxa"/>
            <w:vMerge w:val="continue"/>
            <w:tcBorders>
              <w:left w:val="single" w:sz="6" w:space="0" w:color="808080"/>
              <w:bottom w:val="single" w:sz="6" w:space="0" w:color="808080"/>
              <w:right w:val="single" w:sz="6" w:space="0" w:color="808080"/>
            </w:tcBorders>
          </w:tcPr>
          <w:p>
            <w:pPr>
              <w:pStyle w:val="Normal"/>
              <w:bidi w:val="0"/>
              <w:jc w:val="left"/>
            </w:p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pPr>
            <w:r/>
          </w:p>
        </w:tc>
        <w:tc>
          <w:tcPr>
            <w:tcW w:w="901" w:type="dxa"/>
            <w:vMerge w:val="continue"/>
            <w:tcBorders>
              <w:left w:val="single" w:sz="2" w:space="0" w:color="808080"/>
              <w:bottom w:val="single" w:sz="2" w:space="0" w:color="808080"/>
              <w:right w:val="single" w:sz="6" w:space="0" w:color="808080"/>
            </w:tcBorders>
          </w:tcPr>
          <w:p>
            <w:pPr>
              <w:pStyle w:val="Normal"/>
              <w:bidi w:val="0"/>
              <w:jc w:val="left"/>
            </w:pPr>
            <w:r/>
          </w:p>
        </w:tc>
        <w:tc>
          <w:tcPr>
            <w:tcW w:w="771" w:type="dxa"/>
            <w:vMerge w:val="continue"/>
            <w:tcBorders>
              <w:left w:val="single" w:sz="2" w:space="0" w:color="808080"/>
              <w:bottom w:val="single" w:sz="2" w:space="0" w:color="808080"/>
              <w:right w:val="single" w:sz="6" w:space="0" w:color="808080"/>
            </w:tcBorders>
          </w:tcPr>
          <w:p>
            <w:pPr>
              <w:pStyle w:val="Normal"/>
              <w:bidi w:val="0"/>
              <w:jc w:val="left"/>
            </w:p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pPr>
            <w:r/>
          </w:p>
        </w:tc>
        <w:tc>
          <w:tcPr>
            <w:tcW w:w="1003" w:type="dxa"/>
            <w:vMerge w:val="continue"/>
            <w:tcBorders>
              <w:left w:val="single" w:sz="2" w:space="0" w:color="808080"/>
              <w:bottom w:val="single" w:sz="2" w:space="0" w:color="808080"/>
              <w:right w:val="single" w:sz="6" w:space="0" w:color="808080"/>
            </w:tcBorders>
          </w:tcPr>
          <w:p>
            <w:pPr>
              <w:pStyle w:val="Normal"/>
              <w:bidi w:val="0"/>
              <w:jc w:val="left"/>
            </w:pPr>
            <w:r/>
          </w:p>
        </w:tc>
        <w:tc>
          <w:tcPr>
            <w:tcW w:w="923" w:type="dxa"/>
            <w:vMerge w:val="continue"/>
            <w:tcBorders>
              <w:left w:val="single" w:sz="2" w:space="0" w:color="808080"/>
              <w:bottom w:val="single" w:sz="2" w:space="0" w:color="808080"/>
              <w:right w:val="single" w:sz="6" w:space="0" w:color="808080"/>
            </w:tcBorders>
          </w:tcPr>
          <w:p>
            <w:pPr>
              <w:pStyle w:val="Normal"/>
              <w:bidi w:val="0"/>
              <w:jc w:val="left"/>
            </w:pPr>
            <w:r/>
          </w:p>
        </w:tc>
      </w:tr>
      <w:t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pPr>
            <w:r>
              <w:rPr>
                <w:rFonts w:ascii="Times;serif" w:hAnsi="Times;serif"/>
                <w:color w:val="0000FF"/>
                <w:sz w:val="24"/>
                <w:shd w:fill="FFFFFF" w:val="clear"/>
              </w:rPr>
              <w:t>37,500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302,448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pPr>
            <w:r/>
          </w:p>
        </w:tc>
        <w:tc>
          <w:tcPr>
            <w:tcW w:w="861" w:type="dxa"/>
            <w:vMerge w:val="continue"/>
            <w:tcBorders>
              <w:left w:val="single" w:sz="2" w:space="0" w:color="808080"/>
              <w:bottom w:val="single" w:sz="6" w:space="0" w:color="808080"/>
              <w:right w:val="single" w:sz="6" w:space="0" w:color="808080"/>
            </w:tcBorders>
          </w:tcPr>
          <w:p>
            <w:pPr>
              <w:pStyle w:val="Normal"/>
              <w:bidi w:val="0"/>
              <w:jc w:val="left"/>
            </w:pPr>
            <w:r/>
          </w:p>
        </w:tc>
        <w:tc>
          <w:tcPr>
            <w:tcW w:w="891" w:type="dxa"/>
            <w:vMerge w:val="continue"/>
            <w:tcBorders>
              <w:left w:val="single" w:sz="2" w:space="0" w:color="808080"/>
              <w:bottom w:val="single" w:sz="6" w:space="0" w:color="808080"/>
              <w:right w:val="single" w:sz="6" w:space="0" w:color="808080"/>
            </w:tcBorders>
          </w:tcPr>
          <w:p>
            <w:pPr>
              <w:pStyle w:val="Normal"/>
              <w:bidi w:val="0"/>
              <w:jc w:val="left"/>
            </w:pPr>
            <w:r/>
          </w:p>
        </w:tc>
        <w:tc>
          <w:tcPr>
            <w:tcW w:w="771" w:type="dxa"/>
            <w:vMerge w:val="continue"/>
            <w:tcBorders>
              <w:left w:val="single" w:sz="2" w:space="0" w:color="808080"/>
              <w:bottom w:val="single" w:sz="6" w:space="0" w:color="808080"/>
              <w:right w:val="single" w:sz="6" w:space="0" w:color="808080"/>
            </w:tcBorders>
          </w:tcPr>
          <w:p>
            <w:pPr>
              <w:pStyle w:val="Normal"/>
              <w:bidi w:val="0"/>
              <w:jc w:val="left"/>
            </w:p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pPr>
            <w:r/>
          </w:p>
        </w:tc>
        <w:tc>
          <w:tcPr>
            <w:tcW w:w="936" w:type="dxa"/>
            <w:vMerge w:val="continue"/>
            <w:tcBorders>
              <w:left w:val="single" w:sz="2" w:space="0" w:color="808080"/>
              <w:bottom w:val="single" w:sz="6" w:space="0" w:color="808080"/>
              <w:right w:val="single" w:sz="6" w:space="0" w:color="808080"/>
            </w:tcBorders>
          </w:tcPr>
          <w:p>
            <w:pPr>
              <w:pStyle w:val="Normal"/>
              <w:bidi w:val="0"/>
              <w:jc w:val="left"/>
            </w:pPr>
            <w:r/>
          </w:p>
        </w:tc>
        <w:tc>
          <w:tcPr>
            <w:tcW w:w="831" w:type="dxa"/>
            <w:vMerge w:val="continue"/>
            <w:tcBorders>
              <w:left w:val="single" w:sz="2" w:space="0" w:color="808080"/>
              <w:bottom w:val="single" w:sz="6" w:space="0" w:color="808080"/>
              <w:right w:val="single" w:sz="6" w:space="0" w:color="808080"/>
            </w:tcBorders>
          </w:tcPr>
          <w:p>
            <w:pPr>
              <w:pStyle w:val="Normal"/>
              <w:bidi w:val="0"/>
              <w:jc w:val="left"/>
            </w:pPr>
            <w:r/>
          </w:p>
        </w:tc>
        <w:tc>
          <w:tcPr>
            <w:tcW w:w="846" w:type="dxa"/>
            <w:vMerge w:val="continue"/>
            <w:tcBorders>
              <w:left w:val="single" w:sz="2" w:space="0" w:color="808080"/>
              <w:bottom w:val="single" w:sz="6" w:space="0" w:color="808080"/>
              <w:right w:val="single" w:sz="6" w:space="0" w:color="808080"/>
            </w:tcBorders>
          </w:tcPr>
          <w:p>
            <w:pPr>
              <w:pStyle w:val="Normal"/>
              <w:bidi w:val="0"/>
              <w:jc w:val="left"/>
            </w:pPr>
            <w:r/>
          </w:p>
        </w:tc>
      </w:tr>
    </w:tbl>
    <w:tbl>
      <w:tblPr>
        <w:tblW w:w="5000" w:type="pct"/>
        <w:jc w:val="left"/>
        <w:tblInd w:w="0" w:type="dxa"/>
        <w:tblLayout w:type="fixed"/>
        <w:tblCellMar>
          <w:top w:w="28" w:type="dxa"/>
          <w:left w:w="28" w:type="dxa"/>
          <w:bottom w:w="28" w:type="dxa"/>
          <w:right w:w="28" w:type="dxa"/>
        </w:tblCellMar>
      </w:tblPr>
      <w:tblGrid>
        <w:gridCol w:w="10205"/>
      </w:tblGrid>
      <w:t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restricted stock units ("RSUs"), which represent a contingent right to receive one share of Issuer's Common Stock for each RSU. 25% of the granted RSUs shall vest annually over four years, commencing on September 30, 2027, provided that the Reporting Person remains in continuous service on each vesting date. Unless otherwise provided, on each vesting date, Issuer will automatically withhold shares to satisfy the Reporting Person's tax withholding obligations in a non-discretionary transaction.</w:t>
            </w:r>
          </w:p>
        </w:tc>
      </w:tr>
      <w:t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11/03/2026</w:t>
            </w:r>
          </w:p>
        </w:tc>
      </w:tr>
      <w:t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8255"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3562</Characters>
  <CharactersWithSpaces>4139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