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wk-form4_1793743449.xml.htm"/>
      <w:bookmarkStart w:id="1" w:name="kswkform4_1793743449"/>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Greenwald Taylor C</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IBEX Ltd</w:t>
              </w:r>
            </w:hyperlink>
            <w:r>
              <w:t xml:space="preserve"> [ </w:t>
            </w:r>
            <w:r>
              <w:rPr>
                <w:rFonts w:ascii="Times;serif" w:hAnsi="Times;serif"/>
                <w:color w:val="0000FF"/>
                <w:sz w:val="24"/>
                <w:shd w:fill="FFFFFF" w:val="clear"/>
              </w:rPr>
              <w:t>IBEX</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10/30/2026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pPr>
            <w:r/>
          </w:p>
        </w:tc>
        <w:tc>
          <w:tcPr>
            <w:tcW w:w="90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pPr>
            <w:r/>
          </w:p>
        </w:tc>
        <w:tc>
          <w:tcPr>
            <w:tcW w:w="1003" w:type="dxa"/>
            <w:vMerge w:val="continue"/>
            <w:tcBorders>
              <w:left w:val="single" w:sz="2" w:space="0" w:color="808080"/>
              <w:bottom w:val="single" w:sz="2" w:space="0" w:color="808080"/>
              <w:right w:val="single" w:sz="6" w:space="0" w:color="808080"/>
            </w:tcBorders>
          </w:tcPr>
          <w:p>
            <w:pPr>
              <w:pStyle w:val="Normal"/>
              <w:bidi w:val="0"/>
              <w:jc w:val="left"/>
            </w:pPr>
            <w:r/>
          </w:p>
        </w:tc>
        <w:tc>
          <w:tcPr>
            <w:tcW w:w="923"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4"/>
                <w:shd w:fill="FFFFFF" w:val="clear"/>
              </w:rPr>
              <w:t>10,000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72,788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pPr>
            <w:r/>
          </w:p>
        </w:tc>
        <w:tc>
          <w:tcPr>
            <w:tcW w:w="861" w:type="dxa"/>
            <w:vMerge w:val="continue"/>
            <w:tcBorders>
              <w:left w:val="single" w:sz="2" w:space="0" w:color="808080"/>
              <w:bottom w:val="single" w:sz="6" w:space="0" w:color="808080"/>
              <w:right w:val="single" w:sz="6" w:space="0" w:color="808080"/>
            </w:tcBorders>
          </w:tcPr>
          <w:p>
            <w:pPr>
              <w:pStyle w:val="Normal"/>
              <w:bidi w:val="0"/>
              <w:jc w:val="left"/>
            </w:pPr>
            <w:r/>
          </w:p>
        </w:tc>
        <w:tc>
          <w:tcPr>
            <w:tcW w:w="891" w:type="dxa"/>
            <w:vMerge w:val="continue"/>
            <w:tcBorders>
              <w:left w:val="single" w:sz="2" w:space="0" w:color="808080"/>
              <w:bottom w:val="single" w:sz="6" w:space="0" w:color="808080"/>
              <w:right w:val="single" w:sz="6" w:space="0" w:color="808080"/>
            </w:tcBorders>
          </w:tcPr>
          <w:p>
            <w:pPr>
              <w:pStyle w:val="Normal"/>
              <w:bidi w:val="0"/>
              <w:jc w:val="left"/>
            </w:pPr>
            <w:r/>
          </w:p>
        </w:tc>
        <w:tc>
          <w:tcPr>
            <w:tcW w:w="771" w:type="dxa"/>
            <w:vMerge w:val="continue"/>
            <w:tcBorders>
              <w:left w:val="single" w:sz="2" w:space="0" w:color="808080"/>
              <w:bottom w:val="single" w:sz="6" w:space="0" w:color="808080"/>
              <w:right w:val="single" w:sz="6" w:space="0" w:color="808080"/>
            </w:tcBorders>
          </w:tcPr>
          <w:p>
            <w:pPr>
              <w:pStyle w:val="Normal"/>
              <w:bidi w:val="0"/>
              <w:jc w:val="left"/>
            </w:p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pPr>
            <w:r/>
          </w:p>
        </w:tc>
        <w:tc>
          <w:tcPr>
            <w:tcW w:w="936" w:type="dxa"/>
            <w:vMerge w:val="continue"/>
            <w:tcBorders>
              <w:left w:val="single" w:sz="2" w:space="0" w:color="808080"/>
              <w:bottom w:val="single" w:sz="6" w:space="0" w:color="808080"/>
              <w:right w:val="single" w:sz="6" w:space="0" w:color="808080"/>
            </w:tcBorders>
          </w:tcPr>
          <w:p>
            <w:pPr>
              <w:pStyle w:val="Normal"/>
              <w:bidi w:val="0"/>
              <w:jc w:val="left"/>
            </w:pPr>
            <w:r/>
          </w:p>
        </w:tc>
        <w:tc>
          <w:tcPr>
            <w:tcW w:w="831" w:type="dxa"/>
            <w:vMerge w:val="continue"/>
            <w:tcBorders>
              <w:left w:val="single" w:sz="2" w:space="0" w:color="808080"/>
              <w:bottom w:val="single" w:sz="6" w:space="0" w:color="808080"/>
              <w:right w:val="single" w:sz="6" w:space="0" w:color="808080"/>
            </w:tcBorders>
          </w:tcPr>
          <w:p>
            <w:pPr>
              <w:pStyle w:val="Normal"/>
              <w:bidi w:val="0"/>
              <w:jc w:val="left"/>
            </w:pPr>
            <w:r/>
          </w:p>
        </w:tc>
        <w:tc>
          <w:tcPr>
            <w:tcW w:w="846"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which represent a contingent right to receive one share of Issuer's Common Stock for each RSU. 25% of the granted RSUs shall vest annually over four years, commencing on September 30, 2027, provided that the Reporting Person remains in continuous service on each vesting date. Unless otherwise provided, on each vesting date, Issuer will automatically withhold shares to satisfy the Reporting Person's tax withholding obligations in a non-discretionary transaction.</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3723"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3558</Characters>
  <CharactersWithSpaces>4135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